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14117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12" w:space="0"/>
          <w:insideV w:val="single" w:color="000000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65"/>
        <w:gridCol w:w="8352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tblHeader/>
        </w:trPr>
        <w:tc>
          <w:tcPr>
            <w:tcW w:w="14117" w:type="dxa"/>
            <w:gridSpan w:val="2"/>
            <w:tcBorders>
              <w:top w:val="nil"/>
              <w:left w:val="nil"/>
              <w:bottom w:val="single" w:color="000000" w:sz="4" w:space="0"/>
              <w:right w:val="nil"/>
            </w:tcBorders>
            <w:vAlign w:val="center"/>
          </w:tcPr>
          <w:p>
            <w:r>
              <w:rPr>
                <w:rFonts w:hint="eastAsia"/>
              </w:rPr>
              <w:t>附件</w:t>
            </w:r>
            <w:r>
              <w:t>1</w:t>
            </w:r>
          </w:p>
          <w:p>
            <w:pPr>
              <w:spacing w:line="360" w:lineRule="exact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hint="eastAsia" w:ascii="Times New Roman" w:hAnsi="Times New Roman"/>
                <w:b/>
                <w:bCs w:val="0"/>
                <w:sz w:val="24"/>
                <w:lang w:val="en-US" w:eastAsia="zh-CN"/>
              </w:rPr>
              <w:t>植物保护</w:t>
            </w:r>
            <w:r>
              <w:rPr>
                <w:rFonts w:hint="eastAsia" w:ascii="Times New Roman" w:hAnsi="Times New Roman"/>
                <w:b/>
                <w:bCs w:val="0"/>
                <w:sz w:val="24"/>
              </w:rPr>
              <w:t>专业</w:t>
            </w:r>
            <w:r>
              <w:rPr>
                <w:rFonts w:ascii="Times New Roman" w:hAnsi="Times New Roman"/>
                <w:bCs/>
                <w:sz w:val="24"/>
              </w:rPr>
              <w:t>2017</w:t>
            </w:r>
            <w:r>
              <w:rPr>
                <w:rFonts w:hint="eastAsia" w:ascii="Times New Roman" w:hAnsi="Times New Roman"/>
                <w:bCs/>
                <w:sz w:val="24"/>
              </w:rPr>
              <w:t>版</w:t>
            </w:r>
            <w:r>
              <w:rPr>
                <w:rFonts w:hint="eastAsia" w:ascii="Times New Roman" w:hAnsi="Times New Roman"/>
                <w:bCs/>
                <w:sz w:val="24"/>
                <w:lang w:eastAsia="zh-CN"/>
              </w:rPr>
              <w:t>学分制</w:t>
            </w:r>
            <w:r>
              <w:rPr>
                <w:rFonts w:hint="eastAsia" w:ascii="Times New Roman" w:hAnsi="Times New Roman"/>
                <w:bCs/>
                <w:sz w:val="24"/>
              </w:rPr>
              <w:t>培养方案专家评审意见及</w:t>
            </w:r>
            <w:r>
              <w:rPr>
                <w:rFonts w:hint="eastAsia" w:ascii="Times New Roman" w:hAnsi="Times New Roman"/>
                <w:bCs/>
                <w:sz w:val="24"/>
                <w:lang w:eastAsia="zh-CN"/>
              </w:rPr>
              <w:t>专业</w:t>
            </w:r>
            <w:r>
              <w:rPr>
                <w:rFonts w:hint="eastAsia" w:ascii="Times New Roman" w:hAnsi="Times New Roman"/>
                <w:bCs/>
                <w:sz w:val="24"/>
              </w:rPr>
              <w:t>修改完善自查情况表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  <w:tblHeader/>
        </w:trPr>
        <w:tc>
          <w:tcPr>
            <w:tcW w:w="576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60" w:lineRule="exact"/>
              <w:jc w:val="center"/>
              <w:rPr>
                <w:rFonts w:ascii="Times New Roman" w:hAnsi="Times New Roman" w:eastAsia="黑体"/>
                <w:bCs/>
                <w:sz w:val="24"/>
              </w:rPr>
            </w:pPr>
            <w:r>
              <w:rPr>
                <w:rFonts w:hint="eastAsia" w:ascii="Times New Roman" w:hAnsi="Times New Roman" w:eastAsia="黑体"/>
                <w:bCs/>
                <w:sz w:val="24"/>
              </w:rPr>
              <w:t>专家评审意见</w:t>
            </w:r>
          </w:p>
        </w:tc>
        <w:tc>
          <w:tcPr>
            <w:tcW w:w="8352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spacing w:line="460" w:lineRule="exact"/>
              <w:jc w:val="center"/>
              <w:rPr>
                <w:rFonts w:ascii="Times New Roman" w:hAnsi="Times New Roman" w:eastAsia="黑体"/>
                <w:bCs/>
                <w:sz w:val="24"/>
              </w:rPr>
            </w:pPr>
            <w:r>
              <w:rPr>
                <w:rFonts w:hint="eastAsia" w:ascii="Times New Roman" w:hAnsi="Times New Roman" w:eastAsia="黑体"/>
                <w:bCs/>
                <w:sz w:val="24"/>
              </w:rPr>
              <w:t>修改完善的具体措施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1.</w:t>
            </w:r>
            <w:r>
              <w:rPr>
                <w:rFonts w:hint="eastAsia" w:ascii="宋体" w:hAnsi="宋体" w:cs="宋体"/>
                <w:sz w:val="24"/>
              </w:rPr>
              <w:t>专业培养目标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进一步</w:t>
            </w:r>
            <w:r>
              <w:rPr>
                <w:rFonts w:hint="eastAsia" w:ascii="宋体" w:hAnsi="宋体" w:cs="宋体"/>
                <w:sz w:val="24"/>
              </w:rPr>
              <w:t>修改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凝练。</w:t>
            </w:r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2.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引入</w:t>
            </w:r>
            <w:r>
              <w:rPr>
                <w:rFonts w:hint="eastAsia" w:ascii="宋体" w:hAnsi="宋体" w:cs="宋体"/>
                <w:sz w:val="24"/>
              </w:rPr>
              <w:t>专业认证标准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，</w:t>
            </w:r>
            <w:r>
              <w:rPr>
                <w:rFonts w:hint="eastAsia" w:ascii="宋体" w:hAnsi="宋体" w:cs="宋体"/>
                <w:sz w:val="24"/>
              </w:rPr>
              <w:t>优化培养方案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？</w:t>
            </w:r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3.</w:t>
            </w:r>
            <w:r>
              <w:rPr>
                <w:rFonts w:hint="eastAsia" w:ascii="宋体" w:hAnsi="宋体" w:cs="宋体"/>
                <w:sz w:val="24"/>
              </w:rPr>
              <w:t>专业综合实验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课程</w:t>
            </w:r>
            <w:r>
              <w:rPr>
                <w:rFonts w:hint="eastAsia" w:ascii="宋体" w:hAnsi="宋体" w:cs="宋体"/>
                <w:sz w:val="24"/>
              </w:rPr>
              <w:t>、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综合</w:t>
            </w:r>
            <w:r>
              <w:rPr>
                <w:rFonts w:hint="eastAsia" w:ascii="宋体" w:hAnsi="宋体" w:cs="宋体"/>
                <w:sz w:val="24"/>
              </w:rPr>
              <w:t>实践课程的设置</w:t>
            </w:r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4.</w:t>
            </w:r>
            <w:r>
              <w:rPr>
                <w:rFonts w:hint="eastAsia" w:ascii="宋体" w:hAnsi="宋体" w:cs="宋体"/>
                <w:sz w:val="24"/>
              </w:rPr>
              <w:t>非涉海涉水专业涉海特色课程的设置</w:t>
            </w:r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hint="eastAsia" w:ascii="宋体" w:cs="宋体"/>
                <w:sz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lang w:val="en-US" w:eastAsia="zh-CN"/>
              </w:rPr>
              <w:t>5.</w:t>
            </w:r>
            <w:r>
              <w:rPr>
                <w:rFonts w:hint="eastAsia" w:ascii="宋体" w:hAnsi="宋体" w:cs="宋体"/>
                <w:sz w:val="24"/>
              </w:rPr>
              <w:t>专业核心课程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学分（不超总学分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1/4)</w:t>
            </w:r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hint="eastAsia" w:asci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6.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学科专业拓展课学分（最低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10学分，且不包含专业方向和模块化课程）</w:t>
            </w:r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outlineLvl w:val="9"/>
              <w:rPr>
                <w:rFonts w:hint="eastAsia" w:ascii="宋体" w:cs="宋体"/>
                <w:sz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lang w:val="en-US" w:eastAsia="zh-CN"/>
              </w:rPr>
              <w:t>7.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专业核心课程应达到教育部2012年颁布的《普通高等学校本科专业目录与专业介绍》提出的基本要求，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植物学、植物生理学、作物栽培学等课程应该是学科大类基础课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，不是核心课程。此外，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田间试验与统计分析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应该列入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专业核心课程范围。</w:t>
            </w:r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hint="eastAsia" w:asci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8.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跨学科基础课有利于拓展基础，但不足以全面反映学科交叉融合，尤其是植物保护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在园艺、农学等学科的应用，建议增加相关课程。</w:t>
            </w:r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outlineLvl w:val="9"/>
              <w:rPr>
                <w:rFonts w:hint="eastAsia" w:ascii="宋体" w:cs="宋体"/>
                <w:sz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lang w:val="en-US" w:eastAsia="zh-CN"/>
              </w:rPr>
              <w:t>9.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实践教学设置比较合理，但课时较少，尤其是普通昆虫学、农业昆虫学、普通植物病理学、农业植物病理学等核心课，应该增加课时，从而保障对实践能力的培养。</w:t>
            </w:r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outlineLvl w:val="9"/>
              <w:rPr>
                <w:rFonts w:hint="eastAsia" w:ascii="宋体" w:cs="宋体"/>
                <w:sz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lang w:val="en-US" w:eastAsia="zh-CN"/>
              </w:rPr>
              <w:t>10.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学科专业拓展课的考核方式均为“考查”，依据是什么？要求太低。</w:t>
            </w:r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hint="eastAsia" w:ascii="宋体" w:cs="宋体"/>
                <w:sz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lang w:val="en-US" w:eastAsia="zh-CN"/>
              </w:rPr>
              <w:t>11.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“三、培养目标（标准）、毕业要求与课程体系关系表”中的毕业要求只有3条，应与“二、毕业要求”相一致。</w:t>
            </w:r>
            <w:bookmarkStart w:id="0" w:name="_GoBack"/>
            <w:bookmarkEnd w:id="0"/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hint="eastAsia" w:ascii="宋体" w:cs="宋体"/>
                <w:sz w:val="24"/>
                <w:lang w:val="en-US" w:eastAsia="zh-CN"/>
              </w:rPr>
            </w:pPr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</w:tbl>
    <w:p>
      <w:pPr>
        <w:jc w:val="center"/>
      </w:pPr>
      <w:r>
        <w:rPr>
          <w:rFonts w:hint="eastAsia" w:ascii="宋体" w:hAnsi="宋体"/>
          <w:bCs/>
          <w:sz w:val="24"/>
        </w:rPr>
        <w:t>执笔人：</w:t>
      </w:r>
      <w:r>
        <w:rPr>
          <w:rFonts w:ascii="宋体" w:hAnsi="宋体"/>
          <w:bCs/>
          <w:sz w:val="24"/>
        </w:rPr>
        <w:t xml:space="preserve">                             </w:t>
      </w:r>
      <w:r>
        <w:rPr>
          <w:rFonts w:hint="eastAsia" w:ascii="宋体" w:hAnsi="宋体"/>
          <w:bCs/>
          <w:sz w:val="24"/>
          <w:lang w:val="en-US" w:eastAsia="zh-CN"/>
        </w:rPr>
        <w:t xml:space="preserve">                         </w:t>
      </w:r>
      <w:r>
        <w:rPr>
          <w:rFonts w:hint="eastAsia" w:ascii="宋体" w:hAnsi="宋体"/>
          <w:bCs/>
          <w:sz w:val="24"/>
        </w:rPr>
        <w:t>时间：</w:t>
      </w:r>
      <w:r>
        <w:rPr>
          <w:rFonts w:hint="eastAsia" w:ascii="宋体" w:hAnsi="宋体"/>
          <w:bCs/>
          <w:sz w:val="24"/>
          <w:lang w:val="en-US" w:eastAsia="zh-CN"/>
        </w:rPr>
        <w:t xml:space="preserve">  </w:t>
      </w:r>
      <w:r>
        <w:rPr>
          <w:rFonts w:ascii="宋体" w:hAnsi="宋体"/>
          <w:bCs/>
          <w:sz w:val="24"/>
        </w:rPr>
        <w:t xml:space="preserve">  </w:t>
      </w:r>
      <w:r>
        <w:rPr>
          <w:rFonts w:hint="eastAsia" w:ascii="宋体" w:hAnsi="宋体"/>
          <w:bCs/>
          <w:sz w:val="24"/>
        </w:rPr>
        <w:t>年</w:t>
      </w:r>
      <w:r>
        <w:rPr>
          <w:rFonts w:ascii="宋体" w:hAnsi="宋体"/>
          <w:bCs/>
          <w:sz w:val="24"/>
        </w:rPr>
        <w:t xml:space="preserve"> </w:t>
      </w:r>
      <w:r>
        <w:rPr>
          <w:rFonts w:hint="eastAsia" w:ascii="宋体" w:hAnsi="宋体"/>
          <w:bCs/>
          <w:sz w:val="24"/>
          <w:lang w:val="en-US" w:eastAsia="zh-CN"/>
        </w:rPr>
        <w:t xml:space="preserve">  </w:t>
      </w:r>
      <w:r>
        <w:rPr>
          <w:rFonts w:ascii="宋体" w:hAnsi="宋体"/>
          <w:bCs/>
          <w:sz w:val="24"/>
        </w:rPr>
        <w:t xml:space="preserve"> </w:t>
      </w:r>
      <w:r>
        <w:rPr>
          <w:rFonts w:hint="eastAsia" w:ascii="宋体" w:hAnsi="宋体"/>
          <w:bCs/>
          <w:sz w:val="24"/>
        </w:rPr>
        <w:t>月</w:t>
      </w:r>
      <w:r>
        <w:rPr>
          <w:rFonts w:ascii="宋体" w:hAnsi="宋体"/>
          <w:bCs/>
          <w:sz w:val="24"/>
        </w:rPr>
        <w:t xml:space="preserve"> </w:t>
      </w:r>
      <w:r>
        <w:rPr>
          <w:rFonts w:hint="eastAsia" w:ascii="宋体" w:hAnsi="宋体"/>
          <w:bCs/>
          <w:sz w:val="24"/>
          <w:lang w:val="en-US" w:eastAsia="zh-CN"/>
        </w:rPr>
        <w:t xml:space="preserve">  </w:t>
      </w:r>
      <w:r>
        <w:rPr>
          <w:rFonts w:ascii="宋体" w:hAnsi="宋体"/>
          <w:bCs/>
          <w:sz w:val="24"/>
        </w:rPr>
        <w:t xml:space="preserve"> </w:t>
      </w:r>
      <w:r>
        <w:rPr>
          <w:rFonts w:hint="eastAsia" w:ascii="宋体" w:hAnsi="宋体"/>
          <w:bCs/>
          <w:sz w:val="24"/>
        </w:rPr>
        <w:t>日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行楷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华文新魏">
    <w:altName w:val="宋体"/>
    <w:panose1 w:val="02010800040101010101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汉仪书宋二简">
    <w:altName w:val="SimSun-ExtB"/>
    <w:panose1 w:val="00000000000000000000"/>
    <w:charset w:val="86"/>
    <w:family w:val="modern"/>
    <w:pitch w:val="default"/>
    <w:sig w:usb0="00000000" w:usb1="00000000" w:usb2="00000012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SimSun-ExtB">
    <w:panose1 w:val="02010609060101010101"/>
    <w:charset w:val="86"/>
    <w:family w:val="auto"/>
    <w:pitch w:val="default"/>
    <w:sig w:usb0="00000001" w:usb1="02000000" w:usb2="00000000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8A97586"/>
    <w:rsid w:val="0F5C4F3C"/>
    <w:rsid w:val="12DB5170"/>
    <w:rsid w:val="144847CE"/>
    <w:rsid w:val="1ADD073F"/>
    <w:rsid w:val="1B675D11"/>
    <w:rsid w:val="20A25A3B"/>
    <w:rsid w:val="28A97586"/>
    <w:rsid w:val="2A6B709C"/>
    <w:rsid w:val="2D3165AB"/>
    <w:rsid w:val="31FC1A07"/>
    <w:rsid w:val="34324EA9"/>
    <w:rsid w:val="3FC10002"/>
    <w:rsid w:val="68DD2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2017-12-21T13:46:00Z</dcterms:created>
  <dc:creator>Administrator</dc:creator>
  <cp:lastModifiedBy>Administrator</cp:lastModifiedBy>
  <cp:lastPrinted>2017-12-22T00:08:00Z</cp:lastPrinted>
  <dcterms:modified xsi:type="dcterms:W3CDTF">2017-12-22T13:17:44Z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